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183B1"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评论 </w:t>
      </w:r>
    </w:p>
    <w:p w14:paraId="2B870474">
      <w:pPr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 w14:paraId="29E275B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不能让医疗科普成为流量的“提款机”</w:t>
      </w:r>
    </w:p>
    <w:p w14:paraId="70943DE3"/>
    <w:p w14:paraId="7D8BEB7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02965" cy="3402965"/>
            <wp:effectExtent l="0" t="0" r="6985" b="6985"/>
            <wp:docPr id="1" name="图片 1" descr="二维码-不能让医疗科普成为流量的“提款机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维码-不能让医疗科普成为流量的“提款机”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2965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B51C3"/>
    <w:rsid w:val="403B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2025-04-16T07:11:00Z</dcterms:created>
  <dc:creator>Administrator</dc:creator>
  <cp:lastModifiedBy>Administrator</cp:lastModifiedBy>
  <dcterms:modified xsi:type="dcterms:W3CDTF">2025-04-16T07:13:50Z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D0573391894A4959A653163C097B6DEF_11</vt:lpwstr>
  </property>
  <property fmtid="{D5CDD505-2E9C-101B-9397-08002B2CF9AE}" pid="4" name="KSOTemplateDocerSaveRecord">
    <vt:lpwstr>eyJoZGlkIjoiZThmMzUxZjI0MjUzNTBjMmQ0MzZlMTQ3MzA1MzJmMGYifQ==</vt:lpwstr>
  </property>
</Properties>
</file>